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CEB939" w14:textId="77777777" w:rsidR="00DF44FF" w:rsidRPr="00DF44FF" w:rsidRDefault="00DF44FF" w:rsidP="00DF44FF">
      <w:pPr>
        <w:spacing w:line="480" w:lineRule="auto"/>
        <w:jc w:val="center"/>
        <w:rPr>
          <w:rFonts w:ascii="Times New Roman" w:hAnsi="Times New Roman" w:cs="Times New Roman"/>
          <w:sz w:val="24"/>
          <w:szCs w:val="24"/>
        </w:rPr>
      </w:pPr>
    </w:p>
    <w:p w14:paraId="5CA4B68B" w14:textId="77777777" w:rsidR="00DF44FF" w:rsidRPr="00DF44FF" w:rsidRDefault="00DF44FF" w:rsidP="00DF44FF">
      <w:pPr>
        <w:spacing w:line="480" w:lineRule="auto"/>
        <w:jc w:val="center"/>
        <w:rPr>
          <w:rFonts w:ascii="Times New Roman" w:hAnsi="Times New Roman" w:cs="Times New Roman"/>
          <w:sz w:val="24"/>
          <w:szCs w:val="24"/>
        </w:rPr>
      </w:pPr>
    </w:p>
    <w:p w14:paraId="35FBCFA2" w14:textId="77777777" w:rsidR="00DF44FF" w:rsidRPr="00DF44FF" w:rsidRDefault="00DF44FF" w:rsidP="00DF44FF">
      <w:pPr>
        <w:spacing w:line="480" w:lineRule="auto"/>
        <w:jc w:val="center"/>
        <w:rPr>
          <w:rFonts w:ascii="Times New Roman" w:hAnsi="Times New Roman" w:cs="Times New Roman"/>
          <w:sz w:val="24"/>
          <w:szCs w:val="24"/>
        </w:rPr>
      </w:pPr>
    </w:p>
    <w:p w14:paraId="18594B3A" w14:textId="77777777" w:rsidR="00DF44FF" w:rsidRPr="00DF44FF" w:rsidRDefault="00DF44FF" w:rsidP="00DF44FF">
      <w:pPr>
        <w:spacing w:line="480" w:lineRule="auto"/>
        <w:jc w:val="center"/>
        <w:rPr>
          <w:rFonts w:ascii="Times New Roman" w:hAnsi="Times New Roman" w:cs="Times New Roman"/>
          <w:sz w:val="24"/>
          <w:szCs w:val="24"/>
        </w:rPr>
      </w:pPr>
    </w:p>
    <w:p w14:paraId="34A7AD96" w14:textId="77777777" w:rsidR="00DF44FF" w:rsidRPr="00DF44FF" w:rsidRDefault="00DF44FF" w:rsidP="00DF44FF">
      <w:pPr>
        <w:spacing w:line="480" w:lineRule="auto"/>
        <w:jc w:val="center"/>
        <w:rPr>
          <w:rFonts w:ascii="Times New Roman" w:hAnsi="Times New Roman" w:cs="Times New Roman"/>
          <w:sz w:val="24"/>
          <w:szCs w:val="24"/>
        </w:rPr>
      </w:pPr>
    </w:p>
    <w:p w14:paraId="1FBB3234" w14:textId="77777777" w:rsidR="00DF44FF" w:rsidRPr="00DF44FF" w:rsidRDefault="00DF44FF" w:rsidP="00DF44FF">
      <w:pPr>
        <w:spacing w:line="480" w:lineRule="auto"/>
        <w:jc w:val="center"/>
        <w:rPr>
          <w:rFonts w:ascii="Times New Roman" w:hAnsi="Times New Roman" w:cs="Times New Roman"/>
          <w:sz w:val="24"/>
          <w:szCs w:val="24"/>
        </w:rPr>
      </w:pPr>
    </w:p>
    <w:p w14:paraId="6B81BF24" w14:textId="77777777" w:rsidR="000352E3" w:rsidRPr="00DF44FF" w:rsidRDefault="00DF44FF" w:rsidP="00DF44FF">
      <w:pPr>
        <w:spacing w:line="480" w:lineRule="auto"/>
        <w:jc w:val="center"/>
        <w:rPr>
          <w:rFonts w:ascii="Times New Roman" w:hAnsi="Times New Roman" w:cs="Times New Roman"/>
          <w:sz w:val="24"/>
          <w:szCs w:val="24"/>
        </w:rPr>
      </w:pPr>
      <w:r w:rsidRPr="00DF44FF">
        <w:rPr>
          <w:rFonts w:ascii="Times New Roman" w:hAnsi="Times New Roman" w:cs="Times New Roman"/>
          <w:sz w:val="24"/>
          <w:szCs w:val="24"/>
        </w:rPr>
        <w:t>Treating Iron Water</w:t>
      </w:r>
    </w:p>
    <w:p w14:paraId="535DF2E4" w14:textId="77777777" w:rsidR="00DF44FF" w:rsidRPr="00DF44FF" w:rsidRDefault="00DF44FF" w:rsidP="00DF44FF">
      <w:pPr>
        <w:spacing w:line="480" w:lineRule="auto"/>
        <w:rPr>
          <w:rFonts w:ascii="Times New Roman" w:hAnsi="Times New Roman" w:cs="Times New Roman"/>
          <w:sz w:val="24"/>
          <w:szCs w:val="24"/>
        </w:rPr>
      </w:pPr>
      <w:r w:rsidRPr="00DF44FF">
        <w:rPr>
          <w:rFonts w:ascii="Times New Roman" w:hAnsi="Times New Roman" w:cs="Times New Roman"/>
          <w:sz w:val="24"/>
          <w:szCs w:val="24"/>
        </w:rPr>
        <w:br w:type="page"/>
      </w:r>
    </w:p>
    <w:p w14:paraId="563C0944" w14:textId="77777777" w:rsidR="000352E3" w:rsidRPr="00DF44FF" w:rsidRDefault="000352E3" w:rsidP="00DF44FF">
      <w:pPr>
        <w:spacing w:line="480" w:lineRule="auto"/>
        <w:ind w:firstLine="720"/>
        <w:rPr>
          <w:rFonts w:ascii="Times New Roman" w:hAnsi="Times New Roman" w:cs="Times New Roman"/>
          <w:sz w:val="24"/>
          <w:szCs w:val="24"/>
        </w:rPr>
      </w:pPr>
      <w:r w:rsidRPr="00DF44FF">
        <w:rPr>
          <w:rFonts w:ascii="Times New Roman" w:hAnsi="Times New Roman" w:cs="Times New Roman"/>
          <w:sz w:val="24"/>
          <w:szCs w:val="24"/>
        </w:rPr>
        <w:t>In Central Florida, the availability of clean drinking water is affected by higher percentages of iron in the water from wells in the region. Numerous common water problems are easily seen or identified by tasting, smelling, or observing the residue left behind in water (</w:t>
      </w:r>
      <w:proofErr w:type="spellStart"/>
      <w:r w:rsidRPr="00DF44FF">
        <w:rPr>
          <w:rFonts w:ascii="Times New Roman" w:hAnsi="Times New Roman" w:cs="Times New Roman"/>
          <w:sz w:val="24"/>
          <w:szCs w:val="24"/>
        </w:rPr>
        <w:t>Noubactep</w:t>
      </w:r>
      <w:proofErr w:type="spellEnd"/>
      <w:r w:rsidRPr="00DF44FF">
        <w:rPr>
          <w:rFonts w:ascii="Times New Roman" w:hAnsi="Times New Roman" w:cs="Times New Roman"/>
          <w:sz w:val="24"/>
          <w:szCs w:val="24"/>
        </w:rPr>
        <w:t xml:space="preserve">, 2018). Nonetheless, many more issues have no odor, flavor, or taste, including harmful and toxic substances such as iron. One of the most common problems with the water available for use in Central Florida is the presence of too much iron in the water. Iron water is formed when the iron-bearing rocks dissolve in water (Hudgins et al., 2017). </w:t>
      </w:r>
    </w:p>
    <w:p w14:paraId="583C59E2" w14:textId="77777777" w:rsidR="000352E3" w:rsidRPr="00DF44FF" w:rsidRDefault="000352E3" w:rsidP="00DF44FF">
      <w:pPr>
        <w:spacing w:line="480" w:lineRule="auto"/>
        <w:ind w:firstLine="720"/>
        <w:rPr>
          <w:rFonts w:ascii="Times New Roman" w:hAnsi="Times New Roman" w:cs="Times New Roman"/>
          <w:sz w:val="24"/>
          <w:szCs w:val="24"/>
        </w:rPr>
      </w:pPr>
      <w:r w:rsidRPr="00DF44FF">
        <w:rPr>
          <w:rFonts w:ascii="Times New Roman" w:hAnsi="Times New Roman" w:cs="Times New Roman"/>
          <w:sz w:val="24"/>
          <w:szCs w:val="24"/>
        </w:rPr>
        <w:t>Since iron is the fourth most common element on earth, it is easily found in all types of water supplies on the East Coast of the United States. In temporary cases, iron water can be caused by water standing in iron pipes. For Florida, it is common to have iron-stained sinks, clothes, and linens. Iron forms scale on pipes and other water-using appliances. Iron is found in different forms, such as red water (ferric), clear water (ferrous), and colloidal. Iron is mostly found in two oxidative states: ferric (Fe3+), which is oxidized and less water-soluble, and ferrous (Fe2+), which is water-soluble (</w:t>
      </w:r>
      <w:proofErr w:type="spellStart"/>
      <w:r w:rsidRPr="00DF44FF">
        <w:rPr>
          <w:rFonts w:ascii="Times New Roman" w:hAnsi="Times New Roman" w:cs="Times New Roman"/>
          <w:sz w:val="24"/>
          <w:szCs w:val="24"/>
        </w:rPr>
        <w:t>Noubactep</w:t>
      </w:r>
      <w:proofErr w:type="spellEnd"/>
      <w:r w:rsidRPr="00DF44FF">
        <w:rPr>
          <w:rFonts w:ascii="Times New Roman" w:hAnsi="Times New Roman" w:cs="Times New Roman"/>
          <w:sz w:val="24"/>
          <w:szCs w:val="24"/>
        </w:rPr>
        <w:t xml:space="preserve">, 2018). Ferric iron is reduced to ferrous form when oxygen is depleted or by iron-reducing microbes when soil is saturated with water and below geologic strata. </w:t>
      </w:r>
    </w:p>
    <w:p w14:paraId="1E510753" w14:textId="77777777" w:rsidR="000352E3" w:rsidRPr="00DF44FF" w:rsidRDefault="000352E3" w:rsidP="00DF44FF">
      <w:pPr>
        <w:spacing w:line="480" w:lineRule="auto"/>
        <w:ind w:firstLine="720"/>
        <w:rPr>
          <w:rFonts w:ascii="Times New Roman" w:hAnsi="Times New Roman" w:cs="Times New Roman"/>
          <w:sz w:val="24"/>
          <w:szCs w:val="24"/>
        </w:rPr>
      </w:pPr>
      <w:r w:rsidRPr="00DF44FF">
        <w:rPr>
          <w:rFonts w:ascii="Times New Roman" w:hAnsi="Times New Roman" w:cs="Times New Roman"/>
          <w:sz w:val="24"/>
          <w:szCs w:val="24"/>
        </w:rPr>
        <w:t xml:space="preserve">Iron is transported to drinking water when rainwater sips through the soil and dissolves iron. The solubility of iron is influenced by soil, biotic, and the area's substrate characteristics. Hence, the pH and alkalinity determine the concentration of iron in the water. The standards of drinking water set by the U.S. Environmental Protection Agency (E.P.A.) provided guidelines that were to assist public water systems when it came to managing drinking water for aesthetic considerations. E.P.A does not enforce the secondary maximum contaminant levels. Thus, in many cases, iron is not considered to present any health concern when it comes to drinking water. Still, when the concentrations reach 0.3 mg/L, the E.P.A.'s threshold, a metallic taste, can be detected in water by humans (Hudgins et al., 2017). </w:t>
      </w:r>
    </w:p>
    <w:p w14:paraId="2592B4ED" w14:textId="77777777" w:rsidR="000352E3" w:rsidRPr="00DF44FF" w:rsidRDefault="000352E3" w:rsidP="00DF44FF">
      <w:pPr>
        <w:spacing w:line="480" w:lineRule="auto"/>
        <w:ind w:firstLine="720"/>
        <w:rPr>
          <w:rFonts w:ascii="Times New Roman" w:hAnsi="Times New Roman" w:cs="Times New Roman"/>
          <w:sz w:val="24"/>
          <w:szCs w:val="24"/>
        </w:rPr>
      </w:pPr>
      <w:r w:rsidRPr="00DF44FF">
        <w:rPr>
          <w:rFonts w:ascii="Times New Roman" w:hAnsi="Times New Roman" w:cs="Times New Roman"/>
          <w:sz w:val="24"/>
          <w:szCs w:val="24"/>
        </w:rPr>
        <w:t xml:space="preserve">Numerous alternatives are available in solving the problem of iron in the water. Some of the treatments used include a cation exchange system, oxidizing filters, and water softeners. The method used depends on the cost and quality of water. Pressure filtration/ aeration and reverse osmosis are other used and most applicable methods in cleaning water. The main demerit of these two approaches is that they require constant monitoring, and they are expensive. Other treatment options could include eliminating the need for treatment, digging deeper wells to get to an aquifer with cleaner water, or constructing a new well. For individual families, these measures might be costly (MacDonald &amp; </w:t>
      </w:r>
      <w:proofErr w:type="spellStart"/>
      <w:r w:rsidRPr="00DF44FF">
        <w:rPr>
          <w:rFonts w:ascii="Times New Roman" w:hAnsi="Times New Roman" w:cs="Times New Roman"/>
          <w:sz w:val="24"/>
          <w:szCs w:val="24"/>
        </w:rPr>
        <w:t>Tippett</w:t>
      </w:r>
      <w:proofErr w:type="spellEnd"/>
      <w:r w:rsidRPr="00DF44FF">
        <w:rPr>
          <w:rFonts w:ascii="Times New Roman" w:hAnsi="Times New Roman" w:cs="Times New Roman"/>
          <w:sz w:val="24"/>
          <w:szCs w:val="24"/>
        </w:rPr>
        <w:t>, 2020).</w:t>
      </w:r>
    </w:p>
    <w:p w14:paraId="08339D4D" w14:textId="77777777" w:rsidR="000352E3" w:rsidRPr="00DF44FF" w:rsidRDefault="000352E3" w:rsidP="00DF44FF">
      <w:pPr>
        <w:spacing w:line="480" w:lineRule="auto"/>
        <w:ind w:firstLine="720"/>
        <w:rPr>
          <w:rFonts w:ascii="Times New Roman" w:hAnsi="Times New Roman" w:cs="Times New Roman"/>
          <w:sz w:val="24"/>
          <w:szCs w:val="24"/>
        </w:rPr>
      </w:pPr>
      <w:r w:rsidRPr="00DF44FF">
        <w:rPr>
          <w:rFonts w:ascii="Times New Roman" w:hAnsi="Times New Roman" w:cs="Times New Roman"/>
          <w:sz w:val="24"/>
          <w:szCs w:val="24"/>
        </w:rPr>
        <w:t xml:space="preserve">Iron plays a crucial role in human nutrition as the boy requires a maximum of 3 milligrams of iron on a daily basis (mg/day). Some foods such as red meat, iron-fortified cereals, and green leafy vegetables provide around 16 mg/day. According to the Center for Disease Control and Prevention (C.D.C.), although humans absorb ferric and ferrous iron, the excess iron accumulates in tissues leading to an increased number of chronic diseases. In the U.S.A., it is reported that 1 to 6 individuals per 100 suffer chronic iron overload. Some of the chronic overload symptoms include arthralgia, fatigue, liver cirrhosis and fibrosis, increased risks of liver cancer, and cardiomyopathy (MacDonald &amp; </w:t>
      </w:r>
      <w:proofErr w:type="spellStart"/>
      <w:r w:rsidRPr="00DF44FF">
        <w:rPr>
          <w:rFonts w:ascii="Times New Roman" w:hAnsi="Times New Roman" w:cs="Times New Roman"/>
          <w:sz w:val="24"/>
          <w:szCs w:val="24"/>
        </w:rPr>
        <w:t>Tippett</w:t>
      </w:r>
      <w:proofErr w:type="spellEnd"/>
      <w:r w:rsidRPr="00DF44FF">
        <w:rPr>
          <w:rFonts w:ascii="Times New Roman" w:hAnsi="Times New Roman" w:cs="Times New Roman"/>
          <w:sz w:val="24"/>
          <w:szCs w:val="24"/>
        </w:rPr>
        <w:t xml:space="preserve">, 2020). </w:t>
      </w:r>
    </w:p>
    <w:p w14:paraId="3F26451A" w14:textId="77777777" w:rsidR="000352E3" w:rsidRPr="00DF44FF" w:rsidRDefault="000352E3" w:rsidP="00DF44FF">
      <w:pPr>
        <w:spacing w:line="480" w:lineRule="auto"/>
        <w:ind w:firstLine="720"/>
        <w:rPr>
          <w:rFonts w:ascii="Times New Roman" w:hAnsi="Times New Roman" w:cs="Times New Roman"/>
          <w:sz w:val="24"/>
          <w:szCs w:val="24"/>
        </w:rPr>
      </w:pPr>
      <w:r w:rsidRPr="00DF44FF">
        <w:rPr>
          <w:rFonts w:ascii="Times New Roman" w:hAnsi="Times New Roman" w:cs="Times New Roman"/>
          <w:sz w:val="24"/>
          <w:szCs w:val="24"/>
        </w:rPr>
        <w:t>Evidence of metallic taste in the water, together with staining issues, indicates that in Bithlo, iron was in the water. The community is located around 24km east of Orland and in central Florida. The community solely relies on private water wells whose maximum depth is around 30 meters. These wells have been found to contain sulfide content. Hall meetings were convened to respond to the concerns of iron in water in Bithlo (Flanagan et al., 2016). These meetings provided volunteers who had water from their wells tested. A written report on the levels of iron in water was used as an incentive to the participants. The work done by the project was aimed at improving the lives of the community by providing them with clean drinking water (</w:t>
      </w:r>
      <w:proofErr w:type="spellStart"/>
      <w:r w:rsidRPr="00DF44FF">
        <w:rPr>
          <w:rFonts w:ascii="Times New Roman" w:hAnsi="Times New Roman" w:cs="Times New Roman"/>
          <w:sz w:val="24"/>
          <w:szCs w:val="24"/>
        </w:rPr>
        <w:t>Noubactep</w:t>
      </w:r>
      <w:proofErr w:type="spellEnd"/>
      <w:r w:rsidRPr="00DF44FF">
        <w:rPr>
          <w:rFonts w:ascii="Times New Roman" w:hAnsi="Times New Roman" w:cs="Times New Roman"/>
          <w:sz w:val="24"/>
          <w:szCs w:val="24"/>
        </w:rPr>
        <w:t xml:space="preserve">, 2018). The project focused on providing an analysis of iron concentrations in wells in Florida. </w:t>
      </w:r>
    </w:p>
    <w:p w14:paraId="3A35BDC7" w14:textId="77777777" w:rsidR="000352E3" w:rsidRPr="00DF44FF" w:rsidRDefault="000352E3" w:rsidP="00DF44FF">
      <w:pPr>
        <w:spacing w:line="480" w:lineRule="auto"/>
        <w:ind w:firstLine="720"/>
        <w:rPr>
          <w:rFonts w:ascii="Times New Roman" w:hAnsi="Times New Roman" w:cs="Times New Roman"/>
          <w:sz w:val="24"/>
          <w:szCs w:val="24"/>
        </w:rPr>
      </w:pPr>
      <w:r w:rsidRPr="00DF44FF">
        <w:rPr>
          <w:rFonts w:ascii="Times New Roman" w:hAnsi="Times New Roman" w:cs="Times New Roman"/>
          <w:sz w:val="24"/>
          <w:szCs w:val="24"/>
        </w:rPr>
        <w:t xml:space="preserve">Having water from wells tested before any treatment system is very important. These tests help in identifying the level of minerals and bacteria present in water. The interpretation of the test results will help residents of Bithlo determine whether there is a need for treatment and the type of system or systems to be used in treating water. The intended use of water, such as drinking and cooking, drinking only, all household uses, will also help people in determining the extent of treatment they need and the type of treatment system to install (MacDonald &amp; </w:t>
      </w:r>
      <w:proofErr w:type="spellStart"/>
      <w:r w:rsidRPr="00DF44FF">
        <w:rPr>
          <w:rFonts w:ascii="Times New Roman" w:hAnsi="Times New Roman" w:cs="Times New Roman"/>
          <w:sz w:val="24"/>
          <w:szCs w:val="24"/>
        </w:rPr>
        <w:t>Tippett</w:t>
      </w:r>
      <w:proofErr w:type="spellEnd"/>
      <w:r w:rsidRPr="00DF44FF">
        <w:rPr>
          <w:rFonts w:ascii="Times New Roman" w:hAnsi="Times New Roman" w:cs="Times New Roman"/>
          <w:sz w:val="24"/>
          <w:szCs w:val="24"/>
        </w:rPr>
        <w:t xml:space="preserve">, 2020). Water testing analysis and interpretation in Bithlo will provide information regarding the naturally occurring substances and those caused by human activities. </w:t>
      </w:r>
    </w:p>
    <w:p w14:paraId="3ABE5223" w14:textId="77777777" w:rsidR="000352E3" w:rsidRPr="00DF44FF" w:rsidRDefault="000352E3" w:rsidP="00DF44FF">
      <w:pPr>
        <w:spacing w:line="480" w:lineRule="auto"/>
        <w:ind w:firstLine="720"/>
        <w:rPr>
          <w:rFonts w:ascii="Times New Roman" w:hAnsi="Times New Roman" w:cs="Times New Roman"/>
          <w:sz w:val="24"/>
          <w:szCs w:val="24"/>
        </w:rPr>
      </w:pPr>
      <w:r w:rsidRPr="00DF44FF">
        <w:rPr>
          <w:rFonts w:ascii="Times New Roman" w:hAnsi="Times New Roman" w:cs="Times New Roman"/>
          <w:sz w:val="24"/>
          <w:szCs w:val="24"/>
        </w:rPr>
        <w:t xml:space="preserve">This project encourages people to have their wells tested regularly to maintain both a reliable and safe water source. These test results will allow people to adequately address the specific problems of water supply, such as the presence of iron. Testing will ensure that wells are well maintained and protected from potential contamination, and that appropriate treatment is used and operated correctly. The intended use of water will help the well owners make informed decisions regarding their water and how to utilize it. Regular testing is important as water sources' quality may change over time or within a short time. These changes may not be noticeable as the water may look, taste, and smell the same (Hudgins et al., 2017). </w:t>
      </w:r>
    </w:p>
    <w:p w14:paraId="3261D033" w14:textId="77777777" w:rsidR="000352E3" w:rsidRPr="00DF44FF" w:rsidRDefault="000352E3" w:rsidP="00DF44FF">
      <w:pPr>
        <w:spacing w:line="480" w:lineRule="auto"/>
        <w:ind w:firstLine="720"/>
        <w:rPr>
          <w:rFonts w:ascii="Times New Roman" w:hAnsi="Times New Roman" w:cs="Times New Roman"/>
          <w:sz w:val="24"/>
          <w:szCs w:val="24"/>
        </w:rPr>
      </w:pPr>
      <w:r w:rsidRPr="00DF44FF">
        <w:rPr>
          <w:rFonts w:ascii="Times New Roman" w:hAnsi="Times New Roman" w:cs="Times New Roman"/>
          <w:sz w:val="24"/>
          <w:szCs w:val="24"/>
        </w:rPr>
        <w:t xml:space="preserve">For people in Bithlo, the only way to tell if the water from the well is safer for drinking or any use is by having the water tested at a certified laboratory (Hudgins et al., 2017). Viruses, harmful bacteria, metals, and parasites are not visible to the naked eye; hence, water tastes good but may not be safe to drink. The microbes can exist in groundwater and surface supplies and can lead to humans' sickness if not treated properly. Although some chemicals are useful in human bodies, specific amounts of chemical contaminants can lead to long term health problems that will take time to develop (Flanagan et al., 2016). Therefore, frequent water testing will identify water that is not safe for use and ensure that the treatment system is used in treating water properly. </w:t>
      </w:r>
    </w:p>
    <w:p w14:paraId="6D7CF2F1" w14:textId="77777777" w:rsidR="000352E3" w:rsidRPr="00DF44FF" w:rsidRDefault="000352E3" w:rsidP="00DF44FF">
      <w:pPr>
        <w:spacing w:line="480" w:lineRule="auto"/>
        <w:jc w:val="center"/>
        <w:rPr>
          <w:rFonts w:ascii="Times New Roman" w:hAnsi="Times New Roman" w:cs="Times New Roman"/>
          <w:sz w:val="24"/>
          <w:szCs w:val="24"/>
        </w:rPr>
      </w:pPr>
      <w:r w:rsidRPr="00DF44FF">
        <w:rPr>
          <w:rFonts w:ascii="Times New Roman" w:hAnsi="Times New Roman" w:cs="Times New Roman"/>
          <w:sz w:val="24"/>
          <w:szCs w:val="24"/>
        </w:rPr>
        <w:t>Methodology</w:t>
      </w:r>
    </w:p>
    <w:p w14:paraId="6D80ED27" w14:textId="77777777" w:rsidR="000352E3" w:rsidRPr="00DF44FF" w:rsidRDefault="000352E3" w:rsidP="00DF44FF">
      <w:pPr>
        <w:spacing w:line="480" w:lineRule="auto"/>
        <w:ind w:firstLine="720"/>
        <w:rPr>
          <w:rFonts w:ascii="Times New Roman" w:hAnsi="Times New Roman" w:cs="Times New Roman"/>
          <w:sz w:val="24"/>
          <w:szCs w:val="24"/>
        </w:rPr>
      </w:pPr>
      <w:r w:rsidRPr="00DF44FF">
        <w:rPr>
          <w:rFonts w:ascii="Times New Roman" w:hAnsi="Times New Roman" w:cs="Times New Roman"/>
          <w:sz w:val="24"/>
          <w:szCs w:val="24"/>
        </w:rPr>
        <w:t xml:space="preserve">Bithlo is located in eastern Orange County in central Florida (28033'17" N; 81o06'22" W). based on statistics from the U.S. Census Bureau, Bithlo has been there since the early 20th century and has around nine thousand people living there. Despite it being located close to Orlando, Florida, Bithlo has never had a fresh water supply for its residents. The source of water for most residents in Bithlo comes from shallow wells and household wastewater effluent that flows into septic systems. </w:t>
      </w:r>
    </w:p>
    <w:p w14:paraId="0616D6B3" w14:textId="77777777" w:rsidR="000352E3" w:rsidRPr="00DF44FF" w:rsidRDefault="000352E3" w:rsidP="00DF44FF">
      <w:pPr>
        <w:spacing w:line="480" w:lineRule="auto"/>
        <w:ind w:firstLine="720"/>
        <w:rPr>
          <w:rFonts w:ascii="Times New Roman" w:hAnsi="Times New Roman" w:cs="Times New Roman"/>
          <w:sz w:val="24"/>
          <w:szCs w:val="24"/>
        </w:rPr>
      </w:pPr>
      <w:r w:rsidRPr="00DF44FF">
        <w:rPr>
          <w:rFonts w:ascii="Times New Roman" w:hAnsi="Times New Roman" w:cs="Times New Roman"/>
          <w:sz w:val="24"/>
          <w:szCs w:val="24"/>
        </w:rPr>
        <w:t xml:space="preserve">Data will be collected from households in Bithlo, especially from the volunteers who are ready to participate. To collect data, each participating household will post a sign-in sheet near their water outlet. These volunteers will bring samples of water from their wells for testing in the laboratory during community meetings. Also, bottled samples will be mailed to the laboratory by involved members for testing. Visits will be conducted on various wells to determine their depth and location on the map. For proper mapping and analysis of the area, GPRS locations will be assigned to each well. </w:t>
      </w:r>
    </w:p>
    <w:p w14:paraId="3537494D" w14:textId="77777777" w:rsidR="00DF44FF" w:rsidRPr="00DF44FF" w:rsidRDefault="000352E3" w:rsidP="00DF44FF">
      <w:pPr>
        <w:spacing w:line="480" w:lineRule="auto"/>
        <w:ind w:firstLine="720"/>
        <w:rPr>
          <w:rFonts w:ascii="Times New Roman" w:hAnsi="Times New Roman" w:cs="Times New Roman"/>
          <w:sz w:val="24"/>
          <w:szCs w:val="24"/>
        </w:rPr>
      </w:pPr>
      <w:r w:rsidRPr="00DF44FF">
        <w:rPr>
          <w:rFonts w:ascii="Times New Roman" w:hAnsi="Times New Roman" w:cs="Times New Roman"/>
          <w:sz w:val="24"/>
          <w:szCs w:val="24"/>
        </w:rPr>
        <w:t>The project will focus on mapping out the most affected areas and the depth at which the water is clean by taking samples from different wells and subjecting them to numerous tests. Opinions and testaments from the public will be used in this project to understand the various observations made by the people in the region. The best time to conduct the study will be mid-summer as less rain will be there to interfere with the flow of water into the wells and due to the idea that the water present in the wells will be pure water coming from the rocks.</w:t>
      </w:r>
    </w:p>
    <w:p w14:paraId="2503D243" w14:textId="77777777" w:rsidR="00DF44FF" w:rsidRPr="00DF44FF" w:rsidRDefault="00DF44FF" w:rsidP="00DF44FF">
      <w:pPr>
        <w:spacing w:line="480" w:lineRule="auto"/>
        <w:rPr>
          <w:rFonts w:ascii="Times New Roman" w:hAnsi="Times New Roman" w:cs="Times New Roman"/>
          <w:sz w:val="24"/>
          <w:szCs w:val="24"/>
        </w:rPr>
      </w:pPr>
      <w:r w:rsidRPr="00DF44FF">
        <w:rPr>
          <w:rFonts w:ascii="Times New Roman" w:hAnsi="Times New Roman" w:cs="Times New Roman"/>
          <w:sz w:val="24"/>
          <w:szCs w:val="24"/>
        </w:rPr>
        <w:br w:type="page"/>
      </w:r>
    </w:p>
    <w:p w14:paraId="1EA60C2A" w14:textId="77777777" w:rsidR="00DF44FF" w:rsidRPr="00DF44FF" w:rsidRDefault="00DF44FF" w:rsidP="00DF44FF">
      <w:pPr>
        <w:pStyle w:val="NormalWeb"/>
        <w:spacing w:before="0" w:beforeAutospacing="0" w:after="0" w:afterAutospacing="0" w:line="480" w:lineRule="auto"/>
        <w:ind w:left="720"/>
        <w:jc w:val="center"/>
        <w:rPr>
          <w:color w:val="000000"/>
        </w:rPr>
      </w:pPr>
      <w:r w:rsidRPr="00DF44FF">
        <w:rPr>
          <w:color w:val="000000"/>
        </w:rPr>
        <w:t>References</w:t>
      </w:r>
    </w:p>
    <w:p w14:paraId="632D6718" w14:textId="77777777" w:rsidR="00DF44FF" w:rsidRPr="00DF44FF" w:rsidRDefault="00DF44FF" w:rsidP="00DF44FF">
      <w:pPr>
        <w:pStyle w:val="NormalWeb"/>
        <w:spacing w:before="0" w:beforeAutospacing="0" w:after="0" w:afterAutospacing="0" w:line="480" w:lineRule="auto"/>
        <w:ind w:left="720" w:hanging="720"/>
        <w:rPr>
          <w:color w:val="000000"/>
        </w:rPr>
      </w:pPr>
      <w:proofErr w:type="spellStart"/>
      <w:r w:rsidRPr="00DF44FF">
        <w:rPr>
          <w:color w:val="000000"/>
        </w:rPr>
        <w:t>Bartak</w:t>
      </w:r>
      <w:proofErr w:type="spellEnd"/>
      <w:r w:rsidRPr="00DF44FF">
        <w:rPr>
          <w:color w:val="000000"/>
        </w:rPr>
        <w:t xml:space="preserve">, R., </w:t>
      </w:r>
      <w:proofErr w:type="spellStart"/>
      <w:r w:rsidRPr="00DF44FF">
        <w:rPr>
          <w:color w:val="000000"/>
        </w:rPr>
        <w:t>Macheleidt</w:t>
      </w:r>
      <w:proofErr w:type="spellEnd"/>
      <w:r w:rsidRPr="00DF44FF">
        <w:rPr>
          <w:color w:val="000000"/>
        </w:rPr>
        <w:t xml:space="preserve">, W., &amp; </w:t>
      </w:r>
      <w:proofErr w:type="spellStart"/>
      <w:r w:rsidRPr="00DF44FF">
        <w:rPr>
          <w:color w:val="000000"/>
        </w:rPr>
        <w:t>Grischek</w:t>
      </w:r>
      <w:proofErr w:type="spellEnd"/>
      <w:r w:rsidRPr="00DF44FF">
        <w:rPr>
          <w:color w:val="000000"/>
        </w:rPr>
        <w:t>, T. (2017). Controlling the Formation of the Reaction Zone around an Injection Well during Subsurface Iron Removal. </w:t>
      </w:r>
      <w:r w:rsidRPr="00DF44FF">
        <w:rPr>
          <w:i/>
          <w:iCs/>
          <w:color w:val="000000"/>
        </w:rPr>
        <w:t>Water</w:t>
      </w:r>
      <w:r w:rsidRPr="00DF44FF">
        <w:rPr>
          <w:color w:val="000000"/>
        </w:rPr>
        <w:t>, </w:t>
      </w:r>
      <w:r w:rsidRPr="00DF44FF">
        <w:rPr>
          <w:i/>
          <w:iCs/>
          <w:color w:val="000000"/>
        </w:rPr>
        <w:t>9</w:t>
      </w:r>
      <w:r w:rsidRPr="00DF44FF">
        <w:rPr>
          <w:color w:val="000000"/>
        </w:rPr>
        <w:t>(2), 87. https://doi.org/10.3390/w9020087</w:t>
      </w:r>
    </w:p>
    <w:p w14:paraId="5FD8FAA1" w14:textId="77777777" w:rsidR="00DF44FF" w:rsidRPr="00DF44FF" w:rsidRDefault="00DF44FF" w:rsidP="00DF44FF">
      <w:pPr>
        <w:pStyle w:val="NormalWeb"/>
        <w:spacing w:before="0" w:beforeAutospacing="0" w:after="0" w:afterAutospacing="0" w:line="480" w:lineRule="auto"/>
        <w:ind w:left="720" w:hanging="720"/>
        <w:rPr>
          <w:color w:val="000000"/>
        </w:rPr>
      </w:pPr>
      <w:r w:rsidRPr="00DF44FF">
        <w:rPr>
          <w:color w:val="000000"/>
        </w:rPr>
        <w:t xml:space="preserve">Flanagan, S. V., </w:t>
      </w:r>
      <w:proofErr w:type="spellStart"/>
      <w:r w:rsidRPr="00DF44FF">
        <w:rPr>
          <w:color w:val="000000"/>
        </w:rPr>
        <w:t>Spayd</w:t>
      </w:r>
      <w:proofErr w:type="spellEnd"/>
      <w:r w:rsidRPr="00DF44FF">
        <w:rPr>
          <w:color w:val="000000"/>
        </w:rPr>
        <w:t xml:space="preserve">, S. E., Procopio, N. A., </w:t>
      </w:r>
      <w:proofErr w:type="spellStart"/>
      <w:r w:rsidRPr="00DF44FF">
        <w:rPr>
          <w:color w:val="000000"/>
        </w:rPr>
        <w:t>Chillrud</w:t>
      </w:r>
      <w:proofErr w:type="spellEnd"/>
      <w:r w:rsidRPr="00DF44FF">
        <w:rPr>
          <w:color w:val="000000"/>
        </w:rPr>
        <w:t xml:space="preserve">, S. N., </w:t>
      </w:r>
      <w:proofErr w:type="spellStart"/>
      <w:r w:rsidRPr="00DF44FF">
        <w:rPr>
          <w:color w:val="000000"/>
        </w:rPr>
        <w:t>Braman</w:t>
      </w:r>
      <w:proofErr w:type="spellEnd"/>
      <w:r w:rsidRPr="00DF44FF">
        <w:rPr>
          <w:color w:val="000000"/>
        </w:rPr>
        <w:t>, S., &amp; Zheng, Y. (2016). Arsenic in private well water part 1 of 3: Impact of the New Jersey Private Well Testing Act on household testing and mitigation behavior. </w:t>
      </w:r>
      <w:r w:rsidRPr="00DF44FF">
        <w:rPr>
          <w:i/>
          <w:iCs/>
          <w:color w:val="000000"/>
        </w:rPr>
        <w:t>Science of The Total Environment</w:t>
      </w:r>
      <w:r w:rsidRPr="00DF44FF">
        <w:rPr>
          <w:color w:val="000000"/>
        </w:rPr>
        <w:t>, </w:t>
      </w:r>
      <w:r w:rsidRPr="00DF44FF">
        <w:rPr>
          <w:i/>
          <w:iCs/>
          <w:color w:val="000000"/>
        </w:rPr>
        <w:t>562</w:t>
      </w:r>
      <w:r w:rsidRPr="00DF44FF">
        <w:rPr>
          <w:color w:val="000000"/>
        </w:rPr>
        <w:t>(6), 999–1009. https://doi.org/10.1016/j.scitotenv.2016.03.196</w:t>
      </w:r>
    </w:p>
    <w:p w14:paraId="2213D672" w14:textId="77777777" w:rsidR="00DF44FF" w:rsidRPr="00DF44FF" w:rsidRDefault="00DF44FF" w:rsidP="00DF44FF">
      <w:pPr>
        <w:pStyle w:val="NormalWeb"/>
        <w:spacing w:before="0" w:beforeAutospacing="0" w:after="0" w:afterAutospacing="0" w:line="480" w:lineRule="auto"/>
        <w:ind w:left="720" w:hanging="720"/>
        <w:rPr>
          <w:color w:val="000000"/>
        </w:rPr>
      </w:pPr>
      <w:r w:rsidRPr="00DF44FF">
        <w:rPr>
          <w:color w:val="000000"/>
        </w:rPr>
        <w:t xml:space="preserve">Hudgins, J., Lambert, N., </w:t>
      </w:r>
      <w:proofErr w:type="spellStart"/>
      <w:r w:rsidRPr="00DF44FF">
        <w:rPr>
          <w:color w:val="000000"/>
        </w:rPr>
        <w:t>Duranceau</w:t>
      </w:r>
      <w:proofErr w:type="spellEnd"/>
      <w:r w:rsidRPr="00DF44FF">
        <w:rPr>
          <w:color w:val="000000"/>
        </w:rPr>
        <w:t>, S., &amp; Russell Butler, J. (2017). Assessing the spatial pattern of iron in well water from a small central Florida community. </w:t>
      </w:r>
      <w:r w:rsidRPr="00DF44FF">
        <w:rPr>
          <w:i/>
          <w:iCs/>
          <w:color w:val="000000"/>
        </w:rPr>
        <w:t>Journal of Water and Health</w:t>
      </w:r>
      <w:r w:rsidRPr="00DF44FF">
        <w:rPr>
          <w:color w:val="000000"/>
        </w:rPr>
        <w:t>, </w:t>
      </w:r>
      <w:r w:rsidRPr="00DF44FF">
        <w:rPr>
          <w:i/>
          <w:iCs/>
          <w:color w:val="000000"/>
        </w:rPr>
        <w:t>16</w:t>
      </w:r>
      <w:r w:rsidRPr="00DF44FF">
        <w:rPr>
          <w:color w:val="000000"/>
        </w:rPr>
        <w:t>(1), 93–101. https://doi.org/10.2166/wh.2017.157</w:t>
      </w:r>
    </w:p>
    <w:p w14:paraId="6E1692BA" w14:textId="77777777" w:rsidR="00DF44FF" w:rsidRPr="00DF44FF" w:rsidRDefault="00DF44FF" w:rsidP="00DF44FF">
      <w:pPr>
        <w:pStyle w:val="NormalWeb"/>
        <w:spacing w:before="0" w:beforeAutospacing="0" w:after="0" w:afterAutospacing="0" w:line="480" w:lineRule="auto"/>
        <w:ind w:left="720" w:hanging="720"/>
        <w:rPr>
          <w:color w:val="000000"/>
        </w:rPr>
      </w:pPr>
      <w:r w:rsidRPr="00DF44FF">
        <w:rPr>
          <w:color w:val="000000"/>
        </w:rPr>
        <w:t xml:space="preserve">MacDonald, K., &amp; </w:t>
      </w:r>
      <w:proofErr w:type="spellStart"/>
      <w:r w:rsidRPr="00DF44FF">
        <w:rPr>
          <w:color w:val="000000"/>
        </w:rPr>
        <w:t>Tippett</w:t>
      </w:r>
      <w:proofErr w:type="spellEnd"/>
      <w:r w:rsidRPr="00DF44FF">
        <w:rPr>
          <w:color w:val="000000"/>
        </w:rPr>
        <w:t>, M. (2020). Reducing public exposure to common, harmful well water contaminants through targeted outreach to highly susceptible neighborhoods as a method of increasing the likelihood of testing and treatment of water from private wells. </w:t>
      </w:r>
      <w:r w:rsidRPr="00DF44FF">
        <w:rPr>
          <w:i/>
          <w:iCs/>
          <w:color w:val="000000"/>
        </w:rPr>
        <w:t>Journal of Water and Health</w:t>
      </w:r>
      <w:r w:rsidRPr="00DF44FF">
        <w:rPr>
          <w:color w:val="000000"/>
        </w:rPr>
        <w:t>, </w:t>
      </w:r>
      <w:r w:rsidRPr="00DF44FF">
        <w:rPr>
          <w:i/>
          <w:iCs/>
          <w:color w:val="000000"/>
        </w:rPr>
        <w:t>18</w:t>
      </w:r>
      <w:r w:rsidRPr="00DF44FF">
        <w:rPr>
          <w:color w:val="000000"/>
        </w:rPr>
        <w:t>(4), 522–532. https://doi.org/10.2166/wh.2020.059</w:t>
      </w:r>
    </w:p>
    <w:p w14:paraId="7307D610" w14:textId="77777777" w:rsidR="00DF44FF" w:rsidRPr="00DF44FF" w:rsidRDefault="00DF44FF" w:rsidP="00DF44FF">
      <w:pPr>
        <w:pStyle w:val="NormalWeb"/>
        <w:spacing w:before="0" w:beforeAutospacing="0" w:after="0" w:afterAutospacing="0" w:line="480" w:lineRule="auto"/>
        <w:ind w:left="720" w:hanging="720"/>
        <w:rPr>
          <w:color w:val="000000"/>
        </w:rPr>
      </w:pPr>
      <w:proofErr w:type="spellStart"/>
      <w:r w:rsidRPr="00DF44FF">
        <w:rPr>
          <w:color w:val="000000"/>
        </w:rPr>
        <w:t>Noubactep</w:t>
      </w:r>
      <w:proofErr w:type="spellEnd"/>
      <w:r w:rsidRPr="00DF44FF">
        <w:rPr>
          <w:color w:val="000000"/>
        </w:rPr>
        <w:t>, C. (2018). Metallic Iron (Fe0) Provide Possible Solution to Universal Safe Drinking Water Provision. </w:t>
      </w:r>
      <w:r w:rsidRPr="00DF44FF">
        <w:rPr>
          <w:i/>
          <w:iCs/>
          <w:color w:val="000000"/>
        </w:rPr>
        <w:t>Journal of Water Technology and Treatment Methods</w:t>
      </w:r>
      <w:r w:rsidRPr="00DF44FF">
        <w:rPr>
          <w:color w:val="000000"/>
        </w:rPr>
        <w:t>, </w:t>
      </w:r>
      <w:r w:rsidRPr="00DF44FF">
        <w:rPr>
          <w:i/>
          <w:iCs/>
          <w:color w:val="000000"/>
        </w:rPr>
        <w:t>1</w:t>
      </w:r>
      <w:r w:rsidRPr="00DF44FF">
        <w:rPr>
          <w:color w:val="000000"/>
        </w:rPr>
        <w:t>(1). https://doi.org/10.31021/jwtj.20181102</w:t>
      </w:r>
    </w:p>
    <w:p w14:paraId="0EAC249E" w14:textId="77777777" w:rsidR="00DF44FF" w:rsidRPr="00DF44FF" w:rsidRDefault="00DF44FF" w:rsidP="00DF44FF">
      <w:pPr>
        <w:pStyle w:val="NormalWeb"/>
        <w:spacing w:line="480" w:lineRule="auto"/>
        <w:rPr>
          <w:color w:val="000000"/>
        </w:rPr>
      </w:pPr>
      <w:r w:rsidRPr="00DF44FF">
        <w:rPr>
          <w:color w:val="000000"/>
        </w:rPr>
        <w:t>‌</w:t>
      </w:r>
    </w:p>
    <w:p w14:paraId="7D057E29" w14:textId="77777777" w:rsidR="00115569" w:rsidRPr="00DF44FF" w:rsidRDefault="00115569" w:rsidP="00DF44FF">
      <w:pPr>
        <w:spacing w:line="480" w:lineRule="auto"/>
        <w:ind w:firstLine="720"/>
        <w:rPr>
          <w:rFonts w:ascii="Times New Roman" w:hAnsi="Times New Roman" w:cs="Times New Roman"/>
          <w:sz w:val="24"/>
          <w:szCs w:val="24"/>
        </w:rPr>
      </w:pPr>
    </w:p>
    <w:sectPr w:rsidR="00115569" w:rsidRPr="00DF44FF" w:rsidSect="00DF44F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E3C670" w14:textId="77777777" w:rsidR="00445C40" w:rsidRDefault="00445C40" w:rsidP="00DF44FF">
      <w:pPr>
        <w:spacing w:after="0" w:line="240" w:lineRule="auto"/>
      </w:pPr>
      <w:r>
        <w:separator/>
      </w:r>
    </w:p>
  </w:endnote>
  <w:endnote w:type="continuationSeparator" w:id="0">
    <w:p w14:paraId="068D8A6E" w14:textId="77777777" w:rsidR="00445C40" w:rsidRDefault="00445C40" w:rsidP="00DF44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B55687" w14:textId="77777777" w:rsidR="00445C40" w:rsidRDefault="00445C40" w:rsidP="00DF44FF">
      <w:pPr>
        <w:spacing w:after="0" w:line="240" w:lineRule="auto"/>
      </w:pPr>
      <w:r>
        <w:separator/>
      </w:r>
    </w:p>
  </w:footnote>
  <w:footnote w:type="continuationSeparator" w:id="0">
    <w:p w14:paraId="4B62133C" w14:textId="77777777" w:rsidR="00445C40" w:rsidRDefault="00445C40" w:rsidP="00DF44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AD2D70" w14:textId="77777777" w:rsidR="00DF44FF" w:rsidRDefault="00DF44FF">
    <w:pPr>
      <w:pStyle w:val="Encabezado"/>
      <w:jc w:val="right"/>
    </w:pPr>
    <w:r w:rsidRPr="00DF44FF">
      <w:rPr>
        <w:rFonts w:ascii="Times New Roman" w:hAnsi="Times New Roman" w:cs="Times New Roman"/>
        <w:sz w:val="24"/>
        <w:szCs w:val="24"/>
      </w:rPr>
      <w:t>TREATING IRON WATER</w:t>
    </w:r>
    <w:sdt>
      <w:sdtPr>
        <w:rPr>
          <w:rFonts w:ascii="Times New Roman" w:hAnsi="Times New Roman" w:cs="Times New Roman"/>
          <w:sz w:val="24"/>
          <w:szCs w:val="24"/>
        </w:rPr>
        <w:id w:val="-40846554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DF44FF">
          <w:rPr>
            <w:rFonts w:ascii="Times New Roman" w:hAnsi="Times New Roman" w:cs="Times New Roman"/>
            <w:sz w:val="24"/>
            <w:szCs w:val="24"/>
          </w:rPr>
          <w:fldChar w:fldCharType="begin"/>
        </w:r>
        <w:r w:rsidRPr="00DF44FF">
          <w:rPr>
            <w:rFonts w:ascii="Times New Roman" w:hAnsi="Times New Roman" w:cs="Times New Roman"/>
            <w:sz w:val="24"/>
            <w:szCs w:val="24"/>
          </w:rPr>
          <w:instrText xml:space="preserve"> PAGE   \* MERGEFORMAT </w:instrText>
        </w:r>
        <w:r w:rsidRPr="00DF44FF">
          <w:rPr>
            <w:rFonts w:ascii="Times New Roman" w:hAnsi="Times New Roman" w:cs="Times New Roman"/>
            <w:sz w:val="24"/>
            <w:szCs w:val="24"/>
          </w:rPr>
          <w:fldChar w:fldCharType="separate"/>
        </w:r>
        <w:r>
          <w:rPr>
            <w:rFonts w:ascii="Times New Roman" w:hAnsi="Times New Roman" w:cs="Times New Roman"/>
            <w:noProof/>
            <w:sz w:val="24"/>
            <w:szCs w:val="24"/>
          </w:rPr>
          <w:t>4</w:t>
        </w:r>
        <w:r w:rsidRPr="00DF44FF">
          <w:rPr>
            <w:rFonts w:ascii="Times New Roman" w:hAnsi="Times New Roman" w:cs="Times New Roman"/>
            <w:noProof/>
            <w:sz w:val="24"/>
            <w:szCs w:val="24"/>
          </w:rPr>
          <w:fldChar w:fldCharType="end"/>
        </w:r>
      </w:sdtContent>
    </w:sdt>
  </w:p>
  <w:p w14:paraId="7EB4E75E" w14:textId="77777777" w:rsidR="00DF44FF" w:rsidRDefault="00DF44F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5C705B" w14:textId="77777777" w:rsidR="00DF44FF" w:rsidRPr="00DF44FF" w:rsidRDefault="00DF44FF" w:rsidP="00DF44FF">
    <w:pPr>
      <w:rPr>
        <w:rFonts w:ascii="Times New Roman" w:hAnsi="Times New Roman" w:cs="Times New Roman"/>
        <w:sz w:val="24"/>
        <w:szCs w:val="24"/>
      </w:rPr>
    </w:pPr>
    <w:r w:rsidRPr="00DF44FF">
      <w:rPr>
        <w:rFonts w:ascii="Times New Roman" w:hAnsi="Times New Roman" w:cs="Times New Roman"/>
        <w:sz w:val="24"/>
        <w:szCs w:val="24"/>
      </w:rPr>
      <w:t>Running head: TREATING IRON WATER</w:t>
    </w:r>
    <w:sdt>
      <w:sdtPr>
        <w:rPr>
          <w:rFonts w:ascii="Times New Roman" w:hAnsi="Times New Roman" w:cs="Times New Roman"/>
          <w:sz w:val="24"/>
          <w:szCs w:val="24"/>
        </w:rPr>
        <w:id w:val="-1770340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DF44FF">
          <w:rPr>
            <w:rFonts w:ascii="Times New Roman" w:hAnsi="Times New Roman" w:cs="Times New Roman"/>
            <w:sz w:val="24"/>
            <w:szCs w:val="24"/>
          </w:rPr>
          <w:fldChar w:fldCharType="begin"/>
        </w:r>
        <w:r w:rsidRPr="00DF44FF">
          <w:rPr>
            <w:rFonts w:ascii="Times New Roman" w:hAnsi="Times New Roman" w:cs="Times New Roman"/>
            <w:sz w:val="24"/>
            <w:szCs w:val="24"/>
          </w:rPr>
          <w:instrText xml:space="preserve"> PAGE   \* MERGEFORMAT </w:instrText>
        </w:r>
        <w:r w:rsidRPr="00DF44FF">
          <w:rPr>
            <w:rFonts w:ascii="Times New Roman" w:hAnsi="Times New Roman" w:cs="Times New Roman"/>
            <w:sz w:val="24"/>
            <w:szCs w:val="24"/>
          </w:rPr>
          <w:fldChar w:fldCharType="separate"/>
        </w:r>
        <w:r>
          <w:rPr>
            <w:rFonts w:ascii="Times New Roman" w:hAnsi="Times New Roman" w:cs="Times New Roman"/>
            <w:noProof/>
            <w:sz w:val="24"/>
            <w:szCs w:val="24"/>
          </w:rPr>
          <w:t>1</w:t>
        </w:r>
        <w:r w:rsidRPr="00DF44F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4"/>
  <w:removePersonalInformation/>
  <w:removeDateAndTim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wMzI1NrC0NDG0NDVU0lEKTi0uzszPAykwrAUA+RyWuSwAAAA="/>
  </w:docVars>
  <w:rsids>
    <w:rsidRoot w:val="00EB0B51"/>
    <w:rsid w:val="000352E3"/>
    <w:rsid w:val="00043CFF"/>
    <w:rsid w:val="00083DA8"/>
    <w:rsid w:val="00115569"/>
    <w:rsid w:val="00137B0C"/>
    <w:rsid w:val="001978F7"/>
    <w:rsid w:val="001A6D4D"/>
    <w:rsid w:val="00236F7F"/>
    <w:rsid w:val="002616F5"/>
    <w:rsid w:val="0027334F"/>
    <w:rsid w:val="002A606E"/>
    <w:rsid w:val="002F75E3"/>
    <w:rsid w:val="003306A0"/>
    <w:rsid w:val="00337253"/>
    <w:rsid w:val="00341ABB"/>
    <w:rsid w:val="00364EE3"/>
    <w:rsid w:val="00445C40"/>
    <w:rsid w:val="005E4B26"/>
    <w:rsid w:val="00675E5D"/>
    <w:rsid w:val="008B5EA1"/>
    <w:rsid w:val="00936A33"/>
    <w:rsid w:val="00A06610"/>
    <w:rsid w:val="00A51021"/>
    <w:rsid w:val="00A745C9"/>
    <w:rsid w:val="00A770C2"/>
    <w:rsid w:val="00AE2B33"/>
    <w:rsid w:val="00B96518"/>
    <w:rsid w:val="00CD5BAB"/>
    <w:rsid w:val="00D642E1"/>
    <w:rsid w:val="00D82BC7"/>
    <w:rsid w:val="00D92F04"/>
    <w:rsid w:val="00DF44FF"/>
    <w:rsid w:val="00E12633"/>
    <w:rsid w:val="00EB0B51"/>
    <w:rsid w:val="00F06251"/>
    <w:rsid w:val="00FC64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1F867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DF44FF"/>
    <w:pPr>
      <w:spacing w:before="100" w:beforeAutospacing="1" w:after="100" w:afterAutospacing="1" w:line="240" w:lineRule="auto"/>
    </w:pPr>
    <w:rPr>
      <w:rFonts w:ascii="Times New Roman" w:eastAsia="Times New Roman" w:hAnsi="Times New Roman" w:cs="Times New Roman"/>
      <w:sz w:val="24"/>
      <w:szCs w:val="24"/>
    </w:rPr>
  </w:style>
  <w:style w:type="paragraph" w:styleId="Encabezado">
    <w:name w:val="header"/>
    <w:basedOn w:val="Normal"/>
    <w:link w:val="EncabezadoCar"/>
    <w:uiPriority w:val="99"/>
    <w:unhideWhenUsed/>
    <w:rsid w:val="00DF44F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DF44FF"/>
  </w:style>
  <w:style w:type="paragraph" w:styleId="Piedepgina">
    <w:name w:val="footer"/>
    <w:basedOn w:val="Normal"/>
    <w:link w:val="PiedepginaCar"/>
    <w:uiPriority w:val="99"/>
    <w:unhideWhenUsed/>
    <w:rsid w:val="00DF44F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DF44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2374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1504</Words>
  <Characters>8277</Characters>
  <Application>Microsoft Office Word</Application>
  <DocSecurity>0</DocSecurity>
  <Lines>68</Lines>
  <Paragraphs>19</Paragraphs>
  <ScaleCrop>false</ScaleCrop>
  <Company/>
  <LinksUpToDate>false</LinksUpToDate>
  <CharactersWithSpaces>9762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2020-11-21T23:19:00Z</dcterms:created>
  <dcterms:modified xsi:type="dcterms:W3CDTF">2020-11-21T23:19:00Z</dcterms:modified>
  <cp:category/>
  <cp:contentStatus/>
  <dc:language/>
  <cp:version/>
</cp:coreProperties>
</file>